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fill="FFFFFF"/>
          <w:lang w:eastAsia="zh-CN"/>
        </w:rPr>
        <w:t>华亭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fill="FFFFFF"/>
        </w:rPr>
        <w:t>市财政局关于调整地方政府专项债券资金用途的公告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根据《财政部关于印发〈地方政府专项债券用途调整操作指引〉的通知》（财预〔2021〕110号）和省财政厅通知，我市上报了地方政府专项债券资金用途调整相关资料。按照《甘肃省财政厅关于做好部分专项债券资金用途调整有关工作的通知》（甘财预函〔2021〕55号）、《关于调整部分地区2021年新增专项债务限额的通知》（甘财预〔2021〕81号）精神，现对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fill="FFFFFF"/>
          <w:lang w:eastAsia="zh-CN"/>
        </w:rPr>
        <w:t>我市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新增政府专项债券项目资金用途进行调整，具体调整情况详见附件。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　　特此公告。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　　附件：1.地方政府新增专项债券资金用途调整表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 xml:space="preserve">　　     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2.调整后项目的实施方案、财务评估报告、法律意见书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60" w:lineRule="exact"/>
        <w:ind w:left="5746" w:leftChars="2736" w:right="0"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eastAsia="zh-CN"/>
        </w:rPr>
        <w:t>华亭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市财政局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0" w:firstLineChars="3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2021年11月19日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C19C8"/>
    <w:rsid w:val="3D727212"/>
    <w:rsid w:val="55DB3B89"/>
    <w:rsid w:val="7D9E45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rFonts w:ascii="微软雅黑" w:hAnsi="微软雅黑" w:eastAsia="微软雅黑" w:cs="微软雅黑"/>
      <w:color w:val="636363"/>
      <w:sz w:val="21"/>
      <w:szCs w:val="21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rFonts w:hint="eastAsia" w:ascii="微软雅黑" w:hAnsi="微软雅黑" w:eastAsia="微软雅黑" w:cs="微软雅黑"/>
      <w:color w:val="636363"/>
      <w:sz w:val="21"/>
      <w:szCs w:val="21"/>
      <w:u w:val="none"/>
    </w:rPr>
  </w:style>
  <w:style w:type="character" w:styleId="11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3001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2021-12-16T09:55:38Z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219B79FE3B1F4FA88EF4DC3E5C5A815E</vt:lpwstr>
  </property>
</Properties>
</file>